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9" w:rsidRPr="004505A9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iCs/>
          <w:color w:val="000000" w:themeColor="text1"/>
          <w:sz w:val="32"/>
          <w:szCs w:val="32"/>
          <w:lang w:eastAsia="es-ES"/>
        </w:rPr>
      </w:pPr>
      <w:r w:rsidRPr="004741A2">
        <w:rPr>
          <w:rFonts w:eastAsia="Times New Roman" w:cs="Lucida Sans Unicode"/>
          <w:b/>
          <w:iCs/>
          <w:color w:val="000000" w:themeColor="text1"/>
          <w:sz w:val="32"/>
          <w:szCs w:val="32"/>
          <w:u w:val="single"/>
          <w:lang w:eastAsia="es-ES"/>
        </w:rPr>
        <w:t>Industrias agroalimentarias y explotaciones ganaderas</w:t>
      </w:r>
      <w:r>
        <w:rPr>
          <w:rFonts w:eastAsia="Times New Roman" w:cs="Lucida Sans Unicode"/>
          <w:b/>
          <w:iCs/>
          <w:color w:val="000000" w:themeColor="text1"/>
          <w:sz w:val="32"/>
          <w:szCs w:val="32"/>
          <w:lang w:eastAsia="es-ES"/>
        </w:rPr>
        <w:t xml:space="preserve"> </w:t>
      </w:r>
      <w:r w:rsidRPr="004505A9">
        <w:rPr>
          <w:rFonts w:eastAsia="Times New Roman" w:cs="Lucida Sans Unicode"/>
          <w:b/>
          <w:iCs/>
          <w:color w:val="000000" w:themeColor="text1"/>
          <w:sz w:val="24"/>
          <w:szCs w:val="24"/>
          <w:lang w:eastAsia="es-ES"/>
        </w:rPr>
        <w:t xml:space="preserve">Sometidas a </w:t>
      </w:r>
      <w:r w:rsidRPr="004505A9">
        <w:rPr>
          <w:rFonts w:eastAsia="Times New Roman" w:cs="Lucida Sans Unicode"/>
          <w:b/>
          <w:iCs/>
          <w:color w:val="000000" w:themeColor="text1"/>
          <w:sz w:val="24"/>
          <w:szCs w:val="24"/>
          <w:u w:val="single"/>
          <w:lang w:eastAsia="es-ES"/>
        </w:rPr>
        <w:t>AUTORIZACIÓN AMBIENTAL INTEGRADA</w:t>
      </w:r>
      <w:r w:rsidRPr="004505A9">
        <w:rPr>
          <w:rFonts w:eastAsia="Times New Roman" w:cs="Lucida Sans Unicode"/>
          <w:b/>
          <w:iCs/>
          <w:color w:val="000000" w:themeColor="text1"/>
          <w:sz w:val="24"/>
          <w:szCs w:val="24"/>
          <w:lang w:eastAsia="es-ES"/>
        </w:rPr>
        <w:t xml:space="preserve"> (Anexo I de la </w:t>
      </w:r>
      <w:r w:rsidRPr="004505A9">
        <w:rPr>
          <w:rFonts w:eastAsia="Times New Roman" w:cs="Lucida Sans Unicode"/>
          <w:b/>
          <w:i/>
          <w:iCs/>
          <w:color w:val="000000" w:themeColor="text1"/>
          <w:sz w:val="24"/>
          <w:szCs w:val="24"/>
          <w:lang w:eastAsia="es-ES"/>
        </w:rPr>
        <w:t xml:space="preserve">Ley 6/2014, de 25 de julio, de Prevención, Calidad y Control Ambiental de Actividades en la </w:t>
      </w:r>
      <w:proofErr w:type="spellStart"/>
      <w:r w:rsidRPr="004505A9">
        <w:rPr>
          <w:rFonts w:eastAsia="Times New Roman" w:cs="Lucida Sans Unicode"/>
          <w:b/>
          <w:i/>
          <w:iCs/>
          <w:color w:val="000000" w:themeColor="text1"/>
          <w:sz w:val="24"/>
          <w:szCs w:val="24"/>
          <w:lang w:eastAsia="es-ES"/>
        </w:rPr>
        <w:t>Comunitat</w:t>
      </w:r>
      <w:proofErr w:type="spellEnd"/>
      <w:r w:rsidRPr="004505A9">
        <w:rPr>
          <w:rFonts w:eastAsia="Times New Roman" w:cs="Lucida Sans Unicode"/>
          <w:b/>
          <w:i/>
          <w:iCs/>
          <w:color w:val="000000" w:themeColor="text1"/>
          <w:sz w:val="24"/>
          <w:szCs w:val="24"/>
          <w:lang w:eastAsia="es-ES"/>
        </w:rPr>
        <w:t xml:space="preserve"> Valenciana</w:t>
      </w:r>
      <w:r w:rsidRPr="004505A9">
        <w:rPr>
          <w:rFonts w:eastAsia="Times New Roman" w:cs="Lucida Sans Unicode"/>
          <w:b/>
          <w:iCs/>
          <w:color w:val="000000" w:themeColor="text1"/>
          <w:sz w:val="24"/>
          <w:szCs w:val="24"/>
          <w:lang w:eastAsia="es-ES"/>
        </w:rPr>
        <w:t>)</w:t>
      </w:r>
    </w:p>
    <w:p w:rsidR="004505A9" w:rsidRDefault="004505A9" w:rsidP="004505A9">
      <w:pPr>
        <w:pStyle w:val="Prrafodelista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eastAsia="Times New Roman" w:cs="Lucida Sans Unicode"/>
          <w:b/>
          <w:iCs/>
          <w:color w:val="000000" w:themeColor="text1"/>
          <w:sz w:val="24"/>
          <w:szCs w:val="24"/>
          <w:lang w:eastAsia="es-ES"/>
        </w:rPr>
      </w:pPr>
    </w:p>
    <w:p w:rsidR="004505A9" w:rsidRPr="00EF7E9E" w:rsidRDefault="004505A9" w:rsidP="004505A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color w:val="000000" w:themeColor="text1"/>
          <w:lang w:eastAsia="es-ES"/>
        </w:rPr>
      </w:pPr>
      <w:r w:rsidRPr="00EF7E9E">
        <w:rPr>
          <w:rFonts w:eastAsia="Times New Roman" w:cs="Lucida Sans Unicode"/>
          <w:b/>
          <w:color w:val="000000" w:themeColor="text1"/>
          <w:lang w:eastAsia="es-ES"/>
        </w:rPr>
        <w:t>Instalaciones para: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a)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Mataderos</w:t>
      </w:r>
      <w:r w:rsidRPr="006457DB">
        <w:rPr>
          <w:rFonts w:eastAsia="Times New Roman" w:cs="Lucida Sans Unicode"/>
          <w:color w:val="000000" w:themeColor="text1"/>
          <w:lang w:eastAsia="es-ES"/>
        </w:rPr>
        <w:t xml:space="preserve"> con una capacidad de producción de canales superior a 50 toneladas por día.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b)</w:t>
      </w:r>
      <w:r w:rsidRPr="000B407D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Tratamiento y transformación</w:t>
      </w:r>
      <w:r w:rsidRPr="006457DB">
        <w:rPr>
          <w:rFonts w:eastAsia="Times New Roman" w:cs="Lucida Sans Unicode"/>
          <w:color w:val="000000" w:themeColor="text1"/>
          <w:lang w:eastAsia="es-ES"/>
        </w:rPr>
        <w:t>, distintos del mero envasado, de las siguientes materias primas, tratadas o no previamente, destinados a la producción de alimentos o piensos procedentes de: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i</w:t>
      </w:r>
      <w:r>
        <w:rPr>
          <w:rFonts w:eastAsia="Times New Roman" w:cs="Lucida Sans Unicode"/>
          <w:b/>
          <w:bCs/>
          <w:color w:val="000000" w:themeColor="text1"/>
          <w:lang w:eastAsia="es-ES"/>
        </w:rPr>
        <w:t xml:space="preserve">. 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Solo materia prima animal</w:t>
      </w:r>
      <w:r w:rsidRPr="006457DB">
        <w:rPr>
          <w:rFonts w:eastAsia="Times New Roman" w:cs="Lucida Sans Unicode"/>
          <w:color w:val="000000" w:themeColor="text1"/>
          <w:lang w:eastAsia="es-ES"/>
        </w:rPr>
        <w:t xml:space="preserve"> (que no sea exclusivamente la leche), con una capacidad de producción de productos acabados superior a 75 toneladas por día.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proofErr w:type="spellStart"/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ii</w:t>
      </w:r>
      <w:proofErr w:type="spellEnd"/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.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Solo materia prima vegetal</w:t>
      </w:r>
      <w:r w:rsidRPr="006457DB">
        <w:rPr>
          <w:rFonts w:eastAsia="Times New Roman" w:cs="Lucida Sans Unicode"/>
          <w:color w:val="000000" w:themeColor="text1"/>
          <w:lang w:eastAsia="es-ES"/>
        </w:rPr>
        <w:t>, con una capacidad de producción de productos acabados superior a 300 toneladas por día o 600 toneladas por día en caso de que la instalación funcione durante un período no superior a 90 días consecutivos en un año cualquiera.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proofErr w:type="spellStart"/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iii</w:t>
      </w:r>
      <w:proofErr w:type="spellEnd"/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.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Solo materias primas animales y vegetales</w:t>
      </w:r>
      <w:r w:rsidRPr="006457DB">
        <w:rPr>
          <w:rFonts w:eastAsia="Times New Roman" w:cs="Lucida Sans Unicode"/>
          <w:color w:val="000000" w:themeColor="text1"/>
          <w:lang w:eastAsia="es-ES"/>
        </w:rPr>
        <w:t>, tanto en productos combinados como por separado, con una capacidad de producción de productos acabados en toneladas por día superior a:</w:t>
      </w:r>
    </w:p>
    <w:p w:rsidR="004505A9" w:rsidRPr="00E8334E" w:rsidRDefault="004505A9" w:rsidP="004505A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8334E">
        <w:rPr>
          <w:rFonts w:eastAsia="Times New Roman" w:cs="Lucida Sans Unicode"/>
          <w:color w:val="000000" w:themeColor="text1"/>
          <w:lang w:eastAsia="es-ES"/>
        </w:rPr>
        <w:t>75 si A es igual o superior a 10, o</w:t>
      </w:r>
    </w:p>
    <w:p w:rsidR="004505A9" w:rsidRPr="00E8334E" w:rsidRDefault="004505A9" w:rsidP="004505A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8334E">
        <w:rPr>
          <w:rFonts w:eastAsia="Times New Roman" w:cs="Lucida Sans Unicode"/>
          <w:color w:val="000000" w:themeColor="text1"/>
          <w:lang w:eastAsia="es-ES"/>
        </w:rPr>
        <w:t>[300 – (22,5 × A)] en cualquier otro caso, donde A es la porción de materia animal (en porcentaje del peso) de la capacidad de producción de productos acabados.</w:t>
      </w:r>
    </w:p>
    <w:p w:rsidR="004505A9" w:rsidRPr="00EF619F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F619F">
        <w:rPr>
          <w:rFonts w:eastAsia="Times New Roman" w:cs="Lucida Sans Unicode"/>
          <w:color w:val="000000" w:themeColor="text1"/>
          <w:lang w:eastAsia="es-ES"/>
        </w:rPr>
        <w:t>El envase no se incluirá en el peso final del producto.</w:t>
      </w:r>
    </w:p>
    <w:p w:rsidR="004505A9" w:rsidRDefault="004505A9" w:rsidP="004505A9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Lucida Sans Unicode"/>
          <w:color w:val="000000" w:themeColor="text1"/>
          <w:lang w:eastAsia="es-ES"/>
        </w:rPr>
      </w:pPr>
      <w:r w:rsidRPr="00EF619F">
        <w:rPr>
          <w:rFonts w:eastAsia="Times New Roman" w:cs="Lucida Sans Unicode"/>
          <w:color w:val="000000" w:themeColor="text1"/>
          <w:lang w:eastAsia="es-ES"/>
        </w:rPr>
        <w:t xml:space="preserve">La presente </w:t>
      </w:r>
      <w:proofErr w:type="spellStart"/>
      <w:r w:rsidRPr="00EF619F">
        <w:rPr>
          <w:rFonts w:eastAsia="Times New Roman" w:cs="Lucida Sans Unicode"/>
          <w:color w:val="000000" w:themeColor="text1"/>
          <w:lang w:eastAsia="es-ES"/>
        </w:rPr>
        <w:t>subsección</w:t>
      </w:r>
      <w:proofErr w:type="spellEnd"/>
      <w:r w:rsidRPr="00EF619F">
        <w:rPr>
          <w:rFonts w:eastAsia="Times New Roman" w:cs="Lucida Sans Unicode"/>
          <w:color w:val="000000" w:themeColor="text1"/>
          <w:lang w:eastAsia="es-ES"/>
        </w:rPr>
        <w:t xml:space="preserve"> no será de aplicación cuando la materia prima sea solo leche.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 w:cs="Lucida Sans Unicode"/>
          <w:color w:val="000000" w:themeColor="text1"/>
          <w:lang w:eastAsia="es-ES"/>
        </w:rPr>
      </w:pPr>
      <w:r w:rsidRPr="00EF619F">
        <w:rPr>
          <w:rFonts w:eastAsia="Times New Roman" w:cs="Lucida Sans Unicode"/>
          <w:noProof/>
          <w:color w:val="000000" w:themeColor="text1"/>
          <w:lang w:eastAsia="es-ES"/>
        </w:rPr>
        <w:drawing>
          <wp:inline distT="0" distB="0" distL="0" distR="0">
            <wp:extent cx="3943350" cy="2589308"/>
            <wp:effectExtent l="19050" t="0" r="0" b="0"/>
            <wp:docPr id="1" name="im0000928359" descr="http://imgs.wke.es/8/3/5/9/im000092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00928359" descr="http://imgs.wke.es/8/3/5/9/im00009283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8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c)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Tratamiento y transformación de leche</w:t>
      </w:r>
      <w:r w:rsidRPr="006457DB">
        <w:rPr>
          <w:rFonts w:eastAsia="Times New Roman" w:cs="Lucida Sans Unicode"/>
          <w:color w:val="000000" w:themeColor="text1"/>
          <w:lang w:eastAsia="es-ES"/>
        </w:rPr>
        <w:t xml:space="preserve"> solamente, cuando la cantidad de leche recibida sea superior a 200 toneladas por día (valor medio anual)</w:t>
      </w:r>
    </w:p>
    <w:p w:rsidR="004505A9" w:rsidRPr="000B407D" w:rsidRDefault="004505A9" w:rsidP="004505A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color w:val="000000" w:themeColor="text1"/>
          <w:lang w:eastAsia="es-ES"/>
        </w:rPr>
      </w:pPr>
      <w:r w:rsidRPr="000B407D">
        <w:rPr>
          <w:rFonts w:eastAsia="Times New Roman" w:cs="Lucida Sans Unicode"/>
          <w:b/>
          <w:color w:val="000000" w:themeColor="text1"/>
          <w:u w:val="single"/>
          <w:lang w:eastAsia="es-ES"/>
        </w:rPr>
        <w:t>Instalaciones para la eliminación o el aprovechamiento de canales (carcasas) o desechos de animales</w:t>
      </w:r>
      <w:r w:rsidRPr="000B407D">
        <w:rPr>
          <w:rFonts w:eastAsia="Times New Roman" w:cs="Lucida Sans Unicode"/>
          <w:b/>
          <w:color w:val="000000" w:themeColor="text1"/>
          <w:lang w:eastAsia="es-ES"/>
        </w:rPr>
        <w:t xml:space="preserve"> con una capacidad de tratamiento superior a 10 toneladas por día.</w:t>
      </w:r>
    </w:p>
    <w:p w:rsidR="004505A9" w:rsidRPr="000B407D" w:rsidRDefault="004505A9" w:rsidP="004505A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color w:val="000000" w:themeColor="text1"/>
          <w:lang w:eastAsia="es-ES"/>
        </w:rPr>
      </w:pPr>
      <w:r w:rsidRPr="000B407D">
        <w:rPr>
          <w:rFonts w:eastAsia="Times New Roman" w:cs="Lucida Sans Unicode"/>
          <w:b/>
          <w:color w:val="000000" w:themeColor="text1"/>
          <w:u w:val="single"/>
          <w:lang w:eastAsia="es-ES"/>
        </w:rPr>
        <w:t>Instalaciones destinadas a la cría intensiva de aves de corral o de cerdos</w:t>
      </w:r>
      <w:r w:rsidRPr="000B407D">
        <w:rPr>
          <w:rFonts w:eastAsia="Times New Roman" w:cs="Lucida Sans Unicode"/>
          <w:b/>
          <w:color w:val="000000" w:themeColor="text1"/>
          <w:lang w:eastAsia="es-ES"/>
        </w:rPr>
        <w:t xml:space="preserve"> que dispongan de más de: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a)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40.000 plazas para aves de corral</w:t>
      </w:r>
      <w:r w:rsidRPr="006457DB">
        <w:rPr>
          <w:rFonts w:eastAsia="Times New Roman" w:cs="Lucida Sans Unicode"/>
          <w:color w:val="000000" w:themeColor="text1"/>
          <w:lang w:eastAsia="es-ES"/>
        </w:rPr>
        <w:t xml:space="preserve"> si se trata de gallinas ponedoras o del número equivalente en excreta de nitrógeno para otras orientaciones productivas de aves de corral</w:t>
      </w:r>
    </w:p>
    <w:p w:rsidR="004505A9" w:rsidRPr="006457DB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b)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2.000 plazas para cerdos de cebo</w:t>
      </w:r>
      <w:r w:rsidRPr="006457DB">
        <w:rPr>
          <w:rFonts w:eastAsia="Times New Roman" w:cs="Lucida Sans Unicode"/>
          <w:color w:val="000000" w:themeColor="text1"/>
          <w:lang w:eastAsia="es-ES"/>
        </w:rPr>
        <w:t xml:space="preserve"> de más de 30 Kg.</w:t>
      </w:r>
    </w:p>
    <w:p w:rsidR="004505A9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u w:val="single"/>
          <w:lang w:eastAsia="es-ES"/>
        </w:rPr>
      </w:pPr>
      <w:r w:rsidRPr="006457DB">
        <w:rPr>
          <w:rFonts w:eastAsia="Times New Roman" w:cs="Lucida Sans Unicode"/>
          <w:b/>
          <w:bCs/>
          <w:color w:val="000000" w:themeColor="text1"/>
          <w:lang w:eastAsia="es-ES"/>
        </w:rPr>
        <w:t>c)</w:t>
      </w:r>
      <w:r w:rsidRPr="00EF619F">
        <w:rPr>
          <w:rFonts w:eastAsia="Times New Roman" w:cs="Lucida Sans Unicode"/>
          <w:b/>
          <w:bCs/>
          <w:color w:val="000000" w:themeColor="text1"/>
          <w:lang w:eastAsia="es-ES"/>
        </w:rPr>
        <w:t> </w:t>
      </w:r>
      <w:r w:rsidRPr="006457DB">
        <w:rPr>
          <w:rFonts w:eastAsia="Times New Roman" w:cs="Lucida Sans Unicode"/>
          <w:color w:val="000000" w:themeColor="text1"/>
          <w:u w:val="single"/>
          <w:lang w:eastAsia="es-ES"/>
        </w:rPr>
        <w:t>750 plazas para cerdas reproductoras</w:t>
      </w:r>
    </w:p>
    <w:p w:rsidR="004505A9" w:rsidRDefault="004505A9" w:rsidP="004505A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iCs/>
          <w:color w:val="000000" w:themeColor="text1"/>
          <w:sz w:val="24"/>
          <w:szCs w:val="24"/>
          <w:lang w:eastAsia="es-ES"/>
        </w:rPr>
      </w:pPr>
    </w:p>
    <w:sectPr w:rsidR="004505A9" w:rsidSect="009F1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B6"/>
    <w:multiLevelType w:val="hybridMultilevel"/>
    <w:tmpl w:val="2BD4EF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04159"/>
    <w:multiLevelType w:val="hybridMultilevel"/>
    <w:tmpl w:val="64EC335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7F68CD"/>
    <w:multiLevelType w:val="hybridMultilevel"/>
    <w:tmpl w:val="80E8B8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B2562"/>
    <w:multiLevelType w:val="hybridMultilevel"/>
    <w:tmpl w:val="9E56B4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6C1F75"/>
    <w:multiLevelType w:val="hybridMultilevel"/>
    <w:tmpl w:val="E910C26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5A9"/>
    <w:rsid w:val="004505A9"/>
    <w:rsid w:val="00E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5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1816</Characters>
  <Application>Microsoft Office Word</Application>
  <DocSecurity>0</DocSecurity>
  <Lines>15</Lines>
  <Paragraphs>4</Paragraphs>
  <ScaleCrop>false</ScaleCrop>
  <Company>***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2014-08-29T13:34:00Z</dcterms:created>
  <dcterms:modified xsi:type="dcterms:W3CDTF">2014-08-29T13:36:00Z</dcterms:modified>
</cp:coreProperties>
</file>