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5F" w:rsidRPr="00EF7E9E" w:rsidRDefault="00646BBD" w:rsidP="009D015F">
      <w:pPr>
        <w:shd w:val="clear" w:color="auto" w:fill="FFFFFF"/>
        <w:spacing w:before="100" w:beforeAutospacing="1" w:after="100" w:afterAutospacing="1" w:line="300" w:lineRule="atLeast"/>
        <w:jc w:val="both"/>
        <w:rPr>
          <w:rFonts w:eastAsia="Times New Roman" w:cs="Lucida Sans Unicode"/>
          <w:b/>
          <w:iCs/>
          <w:color w:val="000000" w:themeColor="text1"/>
          <w:sz w:val="24"/>
          <w:szCs w:val="24"/>
          <w:lang w:eastAsia="es-ES"/>
        </w:rPr>
      </w:pPr>
      <w:r w:rsidRPr="004741A2">
        <w:rPr>
          <w:rFonts w:eastAsia="Times New Roman" w:cs="Lucida Sans Unicode"/>
          <w:b/>
          <w:iCs/>
          <w:color w:val="000000" w:themeColor="text1"/>
          <w:sz w:val="32"/>
          <w:szCs w:val="32"/>
          <w:u w:val="single"/>
          <w:lang w:eastAsia="es-ES"/>
        </w:rPr>
        <w:t>Industrias agroalimentarias y explotaciones ganaderas</w:t>
      </w:r>
      <w:r>
        <w:rPr>
          <w:rFonts w:eastAsia="Times New Roman" w:cs="Lucida Sans Unicode"/>
          <w:b/>
          <w:iCs/>
          <w:color w:val="000000" w:themeColor="text1"/>
          <w:sz w:val="32"/>
          <w:szCs w:val="32"/>
          <w:lang w:eastAsia="es-ES"/>
        </w:rPr>
        <w:t xml:space="preserve"> s</w:t>
      </w:r>
      <w:r w:rsidR="009D015F" w:rsidRPr="00EF7E9E">
        <w:rPr>
          <w:rFonts w:eastAsia="Times New Roman" w:cs="Lucida Sans Unicode"/>
          <w:b/>
          <w:iCs/>
          <w:color w:val="000000" w:themeColor="text1"/>
          <w:sz w:val="24"/>
          <w:szCs w:val="24"/>
          <w:lang w:eastAsia="es-ES"/>
        </w:rPr>
        <w:t xml:space="preserve">ometidas a </w:t>
      </w:r>
      <w:r w:rsidR="009D015F" w:rsidRPr="00EE05CF">
        <w:rPr>
          <w:rFonts w:eastAsia="Times New Roman" w:cs="Lucida Sans Unicode"/>
          <w:b/>
          <w:iCs/>
          <w:color w:val="000000" w:themeColor="text1"/>
          <w:sz w:val="24"/>
          <w:szCs w:val="24"/>
          <w:u w:val="single"/>
          <w:lang w:eastAsia="es-ES"/>
        </w:rPr>
        <w:t>LICENCIA AMBIENTAL</w:t>
      </w:r>
      <w:r w:rsidR="009D015F">
        <w:rPr>
          <w:rFonts w:eastAsia="Times New Roman" w:cs="Lucida Sans Unicode"/>
          <w:b/>
          <w:iCs/>
          <w:color w:val="000000" w:themeColor="text1"/>
          <w:sz w:val="24"/>
          <w:szCs w:val="24"/>
          <w:lang w:eastAsia="es-ES"/>
        </w:rPr>
        <w:t xml:space="preserve"> (Anexo II de la </w:t>
      </w:r>
      <w:r w:rsidR="009D015F" w:rsidRPr="00EF7E9E">
        <w:rPr>
          <w:rFonts w:eastAsia="Times New Roman" w:cs="Lucida Sans Unicode"/>
          <w:b/>
          <w:i/>
          <w:iCs/>
          <w:color w:val="000000" w:themeColor="text1"/>
          <w:sz w:val="24"/>
          <w:szCs w:val="24"/>
          <w:lang w:eastAsia="es-ES"/>
        </w:rPr>
        <w:t xml:space="preserve">Ley 6/2014, de 25 de julio, de Prevención, Calidad y Control Ambiental de Actividades en la </w:t>
      </w:r>
      <w:proofErr w:type="spellStart"/>
      <w:r w:rsidR="009D015F" w:rsidRPr="00EF7E9E">
        <w:rPr>
          <w:rFonts w:eastAsia="Times New Roman" w:cs="Lucida Sans Unicode"/>
          <w:b/>
          <w:i/>
          <w:iCs/>
          <w:color w:val="000000" w:themeColor="text1"/>
          <w:sz w:val="24"/>
          <w:szCs w:val="24"/>
          <w:lang w:eastAsia="es-ES"/>
        </w:rPr>
        <w:t>Comunitat</w:t>
      </w:r>
      <w:proofErr w:type="spellEnd"/>
      <w:r w:rsidR="009D015F" w:rsidRPr="00EF7E9E">
        <w:rPr>
          <w:rFonts w:eastAsia="Times New Roman" w:cs="Lucida Sans Unicode"/>
          <w:b/>
          <w:i/>
          <w:iCs/>
          <w:color w:val="000000" w:themeColor="text1"/>
          <w:sz w:val="24"/>
          <w:szCs w:val="24"/>
          <w:lang w:eastAsia="es-ES"/>
        </w:rPr>
        <w:t xml:space="preserve"> Valenciana</w:t>
      </w:r>
      <w:r w:rsidR="009D015F">
        <w:rPr>
          <w:rFonts w:eastAsia="Times New Roman" w:cs="Lucida Sans Unicode"/>
          <w:b/>
          <w:iCs/>
          <w:color w:val="000000" w:themeColor="text1"/>
          <w:sz w:val="24"/>
          <w:szCs w:val="24"/>
          <w:lang w:eastAsia="es-ES"/>
        </w:rPr>
        <w:t>)</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Pr>
          <w:rFonts w:eastAsia="Times New Roman" w:cs="Lucida Sans Unicode"/>
          <w:b/>
          <w:bCs/>
          <w:color w:val="000000" w:themeColor="text1"/>
          <w:lang w:eastAsia="es-ES"/>
        </w:rPr>
        <w:t xml:space="preserve">1. </w:t>
      </w:r>
      <w:r w:rsidRPr="000B1F2C">
        <w:rPr>
          <w:rFonts w:eastAsia="Times New Roman" w:cs="Lucida Sans Unicode"/>
          <w:color w:val="000000" w:themeColor="text1"/>
          <w:u w:val="single"/>
          <w:lang w:eastAsia="es-ES"/>
        </w:rPr>
        <w:t>Mataderos</w:t>
      </w:r>
      <w:r w:rsidRPr="000B1F2C">
        <w:rPr>
          <w:rFonts w:eastAsia="Times New Roman" w:cs="Lucida Sans Unicode"/>
          <w:color w:val="000000" w:themeColor="text1"/>
          <w:lang w:eastAsia="es-ES"/>
        </w:rPr>
        <w:t xml:space="preserve"> con una capacidad de producción de canales superior a 2 y hasta 50 toneladas por día.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2. </w:t>
      </w:r>
      <w:r w:rsidRPr="000B1F2C">
        <w:rPr>
          <w:rFonts w:eastAsia="Times New Roman" w:cs="Lucida Sans Unicode"/>
          <w:color w:val="000000" w:themeColor="text1"/>
          <w:u w:val="single"/>
          <w:lang w:eastAsia="es-ES"/>
        </w:rPr>
        <w:t>Tratamiento y transformación</w:t>
      </w:r>
      <w:r w:rsidRPr="000B1F2C">
        <w:rPr>
          <w:rFonts w:eastAsia="Times New Roman" w:cs="Lucida Sans Unicode"/>
          <w:color w:val="000000" w:themeColor="text1"/>
          <w:lang w:eastAsia="es-ES"/>
        </w:rPr>
        <w:t>, distintos del mero envasado, de las siguientes materias primas, tratadas o no previamente, destinados a la producción de alimentos o piensos procedentes de:</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i</w:t>
      </w:r>
      <w:r>
        <w:rPr>
          <w:rFonts w:eastAsia="Times New Roman" w:cs="Lucida Sans Unicode"/>
          <w:b/>
          <w:bCs/>
          <w:color w:val="000000" w:themeColor="text1"/>
          <w:lang w:eastAsia="es-ES"/>
        </w:rPr>
        <w:t>.</w:t>
      </w:r>
      <w:r w:rsidRPr="000B1F2C">
        <w:rPr>
          <w:rFonts w:eastAsia="Times New Roman" w:cs="Lucida Sans Unicode"/>
          <w:b/>
          <w:bCs/>
          <w:color w:val="000000" w:themeColor="text1"/>
          <w:lang w:eastAsia="es-ES"/>
        </w:rPr>
        <w:t> </w:t>
      </w:r>
      <w:r w:rsidRPr="000B1F2C">
        <w:rPr>
          <w:rFonts w:eastAsia="Times New Roman" w:cs="Lucida Sans Unicode"/>
          <w:color w:val="000000" w:themeColor="text1"/>
          <w:u w:val="single"/>
          <w:lang w:eastAsia="es-ES"/>
        </w:rPr>
        <w:t>solo materia prima animal</w:t>
      </w:r>
      <w:r w:rsidRPr="000B1F2C">
        <w:rPr>
          <w:rFonts w:eastAsia="Times New Roman" w:cs="Lucida Sans Unicode"/>
          <w:color w:val="000000" w:themeColor="text1"/>
          <w:lang w:eastAsia="es-ES"/>
        </w:rPr>
        <w:t xml:space="preserve"> (que no sea exclusivamente la leche), con una capacidad de producción de productos acabados superior a 10 toneladas por día y hasta 75 toneladas por día,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proofErr w:type="spellStart"/>
      <w:r w:rsidRPr="000B1F2C">
        <w:rPr>
          <w:rFonts w:eastAsia="Times New Roman" w:cs="Lucida Sans Unicode"/>
          <w:b/>
          <w:bCs/>
          <w:color w:val="000000" w:themeColor="text1"/>
          <w:lang w:eastAsia="es-ES"/>
        </w:rPr>
        <w:t>ii</w:t>
      </w:r>
      <w:proofErr w:type="spellEnd"/>
      <w:r w:rsidRPr="000B1F2C">
        <w:rPr>
          <w:rFonts w:eastAsia="Times New Roman" w:cs="Lucida Sans Unicode"/>
          <w:b/>
          <w:bCs/>
          <w:color w:val="000000" w:themeColor="text1"/>
          <w:lang w:eastAsia="es-ES"/>
        </w:rPr>
        <w:t>. </w:t>
      </w:r>
      <w:r w:rsidRPr="000B1F2C">
        <w:rPr>
          <w:rFonts w:eastAsia="Times New Roman" w:cs="Lucida Sans Unicode"/>
          <w:color w:val="000000" w:themeColor="text1"/>
          <w:u w:val="single"/>
          <w:lang w:eastAsia="es-ES"/>
        </w:rPr>
        <w:t>solo materia prima vegetal</w:t>
      </w:r>
      <w:r w:rsidRPr="000B1F2C">
        <w:rPr>
          <w:rFonts w:eastAsia="Times New Roman" w:cs="Lucida Sans Unicode"/>
          <w:color w:val="000000" w:themeColor="text1"/>
          <w:lang w:eastAsia="es-ES"/>
        </w:rPr>
        <w:t>, con una capacidad de producción de productos acabados superior a 5 toneladas por día y hasta 300 toneladas por día, o 600 toneladas por día en caso de que la instalación funcione durante un período no superior a 90 días consecutivos en un año cualquiera,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proofErr w:type="spellStart"/>
      <w:r w:rsidRPr="000B1F2C">
        <w:rPr>
          <w:rFonts w:eastAsia="Times New Roman" w:cs="Lucida Sans Unicode"/>
          <w:b/>
          <w:bCs/>
          <w:color w:val="000000" w:themeColor="text1"/>
          <w:lang w:eastAsia="es-ES"/>
        </w:rPr>
        <w:t>iii</w:t>
      </w:r>
      <w:proofErr w:type="spellEnd"/>
      <w:r w:rsidRPr="000B1F2C">
        <w:rPr>
          <w:rFonts w:eastAsia="Times New Roman" w:cs="Lucida Sans Unicode"/>
          <w:b/>
          <w:bCs/>
          <w:color w:val="000000" w:themeColor="text1"/>
          <w:lang w:eastAsia="es-ES"/>
        </w:rPr>
        <w:t>. </w:t>
      </w:r>
      <w:r w:rsidRPr="000B1F2C">
        <w:rPr>
          <w:rFonts w:eastAsia="Times New Roman" w:cs="Lucida Sans Unicode"/>
          <w:color w:val="000000" w:themeColor="text1"/>
          <w:u w:val="single"/>
          <w:lang w:eastAsia="es-ES"/>
        </w:rPr>
        <w:t>materias primas animales y vegetales</w:t>
      </w:r>
      <w:r w:rsidRPr="000B1F2C">
        <w:rPr>
          <w:rFonts w:eastAsia="Times New Roman" w:cs="Lucida Sans Unicode"/>
          <w:color w:val="000000" w:themeColor="text1"/>
          <w:lang w:eastAsia="es-ES"/>
        </w:rPr>
        <w:t>, tanto en productos combinados como por separado, con una capacidad de producción de productos acabados en toneladas por día hasta:</w:t>
      </w:r>
    </w:p>
    <w:p w:rsidR="009D015F" w:rsidRPr="000B1F2C" w:rsidRDefault="009D015F" w:rsidP="009D015F">
      <w:pPr>
        <w:pStyle w:val="Prrafodelista"/>
        <w:numPr>
          <w:ilvl w:val="0"/>
          <w:numId w:val="1"/>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color w:val="000000" w:themeColor="text1"/>
          <w:lang w:eastAsia="es-ES"/>
        </w:rPr>
        <w:t>75 si A es igual o superior a 10, o</w:t>
      </w:r>
    </w:p>
    <w:p w:rsidR="009D015F" w:rsidRPr="000B1F2C" w:rsidRDefault="009D015F" w:rsidP="009D015F">
      <w:pPr>
        <w:pStyle w:val="Prrafodelista"/>
        <w:numPr>
          <w:ilvl w:val="0"/>
          <w:numId w:val="1"/>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color w:val="000000" w:themeColor="text1"/>
          <w:lang w:eastAsia="es-ES"/>
        </w:rPr>
        <w:t>[300 – (22,5 × A)] en cualquier otro caso, donde A es la porción de materia animal (en porcentaje del peso) de la capacidad de producción de productos acabados.</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color w:val="000000" w:themeColor="text1"/>
          <w:lang w:eastAsia="es-ES"/>
        </w:rPr>
        <w:t>El envase no se incluirá en el peso final del producto.</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color w:val="000000" w:themeColor="text1"/>
          <w:lang w:eastAsia="es-ES"/>
        </w:rPr>
        <w:t xml:space="preserve">La presente </w:t>
      </w:r>
      <w:proofErr w:type="spellStart"/>
      <w:r w:rsidRPr="000B1F2C">
        <w:rPr>
          <w:rFonts w:eastAsia="Times New Roman" w:cs="Lucida Sans Unicode"/>
          <w:color w:val="000000" w:themeColor="text1"/>
          <w:lang w:eastAsia="es-ES"/>
        </w:rPr>
        <w:t>subsección</w:t>
      </w:r>
      <w:proofErr w:type="spellEnd"/>
      <w:r w:rsidRPr="000B1F2C">
        <w:rPr>
          <w:rFonts w:eastAsia="Times New Roman" w:cs="Lucida Sans Unicode"/>
          <w:color w:val="000000" w:themeColor="text1"/>
          <w:lang w:eastAsia="es-ES"/>
        </w:rPr>
        <w:t xml:space="preserve"> no será de aplicación cuando la materia prima sea solo leche.</w:t>
      </w:r>
    </w:p>
    <w:p w:rsidR="009D015F" w:rsidRPr="000B1F2C" w:rsidRDefault="009D015F" w:rsidP="009D015F">
      <w:pPr>
        <w:shd w:val="clear" w:color="auto" w:fill="FFFFFF"/>
        <w:spacing w:before="100" w:beforeAutospacing="1" w:after="100" w:afterAutospacing="1" w:line="300" w:lineRule="atLeast"/>
        <w:jc w:val="center"/>
        <w:rPr>
          <w:rFonts w:eastAsia="Times New Roman" w:cs="Lucida Sans Unicode"/>
          <w:color w:val="000000" w:themeColor="text1"/>
          <w:lang w:eastAsia="es-ES"/>
        </w:rPr>
      </w:pPr>
      <w:r w:rsidRPr="000B1F2C">
        <w:rPr>
          <w:rFonts w:eastAsia="Times New Roman" w:cs="Lucida Sans Unicode"/>
          <w:noProof/>
          <w:color w:val="000000" w:themeColor="text1"/>
          <w:lang w:eastAsia="es-ES"/>
        </w:rPr>
        <w:drawing>
          <wp:inline distT="0" distB="0" distL="0" distR="0">
            <wp:extent cx="4015401" cy="2571750"/>
            <wp:effectExtent l="19050" t="0" r="4149" b="0"/>
            <wp:docPr id="2" name="im0000928360" descr="http://imgs.wke.es/8/3/6/0/im000092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0928360" descr="http://imgs.wke.es/8/3/6/0/im0000928360.jpg"/>
                    <pic:cNvPicPr>
                      <a:picLocks noChangeAspect="1" noChangeArrowheads="1"/>
                    </pic:cNvPicPr>
                  </pic:nvPicPr>
                  <pic:blipFill>
                    <a:blip r:embed="rId5"/>
                    <a:srcRect/>
                    <a:stretch>
                      <a:fillRect/>
                    </a:stretch>
                  </pic:blipFill>
                  <pic:spPr bwMode="auto">
                    <a:xfrm>
                      <a:off x="0" y="0"/>
                      <a:ext cx="4015401" cy="2571750"/>
                    </a:xfrm>
                    <a:prstGeom prst="rect">
                      <a:avLst/>
                    </a:prstGeom>
                    <a:noFill/>
                    <a:ln w="9525">
                      <a:noFill/>
                      <a:miter lim="800000"/>
                      <a:headEnd/>
                      <a:tailEnd/>
                    </a:ln>
                  </pic:spPr>
                </pic:pic>
              </a:graphicData>
            </a:graphic>
          </wp:inline>
        </w:drawing>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lastRenderedPageBreak/>
        <w:t>3. </w:t>
      </w:r>
      <w:r w:rsidRPr="000B1F2C">
        <w:rPr>
          <w:rFonts w:eastAsia="Times New Roman" w:cs="Lucida Sans Unicode"/>
          <w:color w:val="000000" w:themeColor="text1"/>
          <w:u w:val="single"/>
          <w:lang w:eastAsia="es-ES"/>
        </w:rPr>
        <w:t>Tratamiento y transformación de leche solamente</w:t>
      </w:r>
      <w:r w:rsidRPr="000B1F2C">
        <w:rPr>
          <w:rFonts w:eastAsia="Times New Roman" w:cs="Lucida Sans Unicode"/>
          <w:color w:val="000000" w:themeColor="text1"/>
          <w:lang w:eastAsia="es-ES"/>
        </w:rPr>
        <w:t>, cuando la cantidad de leche recibida sea superior a 2 y hasta 200 toneladas por día (valor medio anual).</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4. </w:t>
      </w:r>
      <w:r w:rsidRPr="000B1F2C">
        <w:rPr>
          <w:rFonts w:eastAsia="Times New Roman" w:cs="Lucida Sans Unicode"/>
          <w:color w:val="000000" w:themeColor="text1"/>
          <w:u w:val="single"/>
          <w:lang w:eastAsia="es-ES"/>
        </w:rPr>
        <w:t>Eliminación o aprovechamiento de canales o desechos de animales</w:t>
      </w:r>
      <w:r w:rsidRPr="000B1F2C">
        <w:rPr>
          <w:rFonts w:eastAsia="Times New Roman" w:cs="Lucida Sans Unicode"/>
          <w:color w:val="000000" w:themeColor="text1"/>
          <w:lang w:eastAsia="es-ES"/>
        </w:rPr>
        <w:t xml:space="preserve"> con una capacidad de tratamiento igual o inferior a 10 toneladas por día.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5. </w:t>
      </w:r>
      <w:r w:rsidRPr="000B1F2C">
        <w:rPr>
          <w:rFonts w:eastAsia="Times New Roman" w:cs="Lucida Sans Unicode"/>
          <w:color w:val="000000" w:themeColor="text1"/>
          <w:u w:val="single"/>
          <w:lang w:eastAsia="es-ES"/>
        </w:rPr>
        <w:t>Instalaciones para la cría intensiva de aves de corral o de cerdos</w:t>
      </w:r>
      <w:r w:rsidRPr="000B1F2C">
        <w:rPr>
          <w:rFonts w:eastAsia="Times New Roman" w:cs="Lucida Sans Unicode"/>
          <w:color w:val="000000" w:themeColor="text1"/>
          <w:lang w:eastAsia="es-ES"/>
        </w:rPr>
        <w:t xml:space="preserve"> que dispongan:</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a) </w:t>
      </w:r>
      <w:r w:rsidRPr="000B1F2C">
        <w:rPr>
          <w:rFonts w:eastAsia="Times New Roman" w:cs="Lucida Sans Unicode"/>
          <w:color w:val="000000" w:themeColor="text1"/>
          <w:lang w:eastAsia="es-ES"/>
        </w:rPr>
        <w:t>entre 2.000 y hasta 40.000 plazas para aves de corral si se trata de gallinas ponedoras o del número equivalente para otras orientaciones productivas de aves;</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b) </w:t>
      </w:r>
      <w:r w:rsidRPr="000B1F2C">
        <w:rPr>
          <w:rFonts w:eastAsia="Times New Roman" w:cs="Lucida Sans Unicode"/>
          <w:color w:val="000000" w:themeColor="text1"/>
          <w:lang w:eastAsia="es-ES"/>
        </w:rPr>
        <w:t>de más de 200 y hasta 2.000 plazas para cerdos de cría de más de 30 kg</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c) </w:t>
      </w:r>
      <w:r w:rsidRPr="000B1F2C">
        <w:rPr>
          <w:rFonts w:eastAsia="Times New Roman" w:cs="Lucida Sans Unicode"/>
          <w:color w:val="000000" w:themeColor="text1"/>
          <w:lang w:eastAsia="es-ES"/>
        </w:rPr>
        <w:t>de más de 250 y hasta 2.500 plazas para cerdos de cría de más de 20 kg</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d) </w:t>
      </w:r>
      <w:r w:rsidRPr="000B1F2C">
        <w:rPr>
          <w:rFonts w:eastAsia="Times New Roman" w:cs="Lucida Sans Unicode"/>
          <w:color w:val="000000" w:themeColor="text1"/>
          <w:lang w:eastAsia="es-ES"/>
        </w:rPr>
        <w:t>de más de 100 y hasta 750 plazas para cerdas</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e) </w:t>
      </w:r>
      <w:r w:rsidRPr="000B1F2C">
        <w:rPr>
          <w:rFonts w:eastAsia="Times New Roman" w:cs="Lucida Sans Unicode"/>
          <w:color w:val="000000" w:themeColor="text1"/>
          <w:lang w:eastAsia="es-ES"/>
        </w:rPr>
        <w:t>de más de 30 y hasta 530 plazas para cerdas en ciclo cerrado (530 cerdas en ciclo cerrado equivalen a las 750 reproductoras)</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f) </w:t>
      </w:r>
      <w:r w:rsidRPr="000B1F2C">
        <w:rPr>
          <w:rFonts w:eastAsia="Times New Roman" w:cs="Lucida Sans Unicode"/>
          <w:color w:val="000000" w:themeColor="text1"/>
          <w:lang w:eastAsia="es-ES"/>
        </w:rPr>
        <w:t>de más de 30 UGM (1 UGM = 1 plaza de vacuno de leche).</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color w:val="000000" w:themeColor="text1"/>
          <w:lang w:eastAsia="es-ES"/>
        </w:rPr>
        <w:t>En el caso de explotaciones mixtas, en las que coexistan animales de los apartados b) a e) de este epígrafe, el número de animales para considerar la inclusión de la instalación en este anexo se determinará de acuerdo con las equivalencias en Unidad Ganadera Mayor (UGM) de los distintos tipos de ganado porcino, recogidas en el anexo I del </w:t>
      </w:r>
      <w:hyperlink r:id="rId6" w:history="1">
        <w:r w:rsidRPr="000B1F2C">
          <w:rPr>
            <w:rFonts w:eastAsia="Times New Roman" w:cs="Lucida Sans Unicode"/>
            <w:color w:val="000000" w:themeColor="text1"/>
            <w:lang w:eastAsia="es-ES"/>
          </w:rPr>
          <w:t>Real Decreto 324/2000, de 3 de marzo</w:t>
        </w:r>
      </w:hyperlink>
      <w:r w:rsidRPr="000B1F2C">
        <w:rPr>
          <w:rFonts w:eastAsia="Times New Roman" w:cs="Lucida Sans Unicode"/>
          <w:color w:val="000000" w:themeColor="text1"/>
          <w:lang w:eastAsia="es-ES"/>
        </w:rPr>
        <w:t>, por el que se establecen normas básicas de ordenación de las explotaciones porcinas, o norma que le sustituya.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6. </w:t>
      </w:r>
      <w:r w:rsidRPr="000B1F2C">
        <w:rPr>
          <w:rFonts w:eastAsia="Times New Roman" w:cs="Lucida Sans Unicode"/>
          <w:color w:val="000000" w:themeColor="text1"/>
          <w:u w:val="single"/>
          <w:lang w:eastAsia="es-ES"/>
        </w:rPr>
        <w:t>Instalaciones para la cría intensiva de otros animales</w:t>
      </w:r>
      <w:r w:rsidRPr="000B1F2C">
        <w:rPr>
          <w:rFonts w:eastAsia="Times New Roman" w:cs="Lucida Sans Unicode"/>
          <w:color w:val="000000" w:themeColor="text1"/>
          <w:lang w:eastAsia="es-ES"/>
        </w:rPr>
        <w:t xml:space="preserve"> que alberguen:</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lechones a partir de 1.500 plazas inclusive.</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vacuno de engorde por encima de 50 plazas.</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vacuno de leche por encima de 30 plazas.</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ovino y/o caprino por encima de 200 plazas.</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equino por encima de 30 plazas.</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conejos por encima de 2.000 plazas.</w:t>
      </w:r>
    </w:p>
    <w:p w:rsidR="009D015F" w:rsidRPr="00DD29D4" w:rsidRDefault="009D015F" w:rsidP="009D015F">
      <w:pPr>
        <w:pStyle w:val="Prrafodelista"/>
        <w:numPr>
          <w:ilvl w:val="0"/>
          <w:numId w:val="2"/>
        </w:num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DD29D4">
        <w:rPr>
          <w:rFonts w:eastAsia="Times New Roman" w:cs="Lucida Sans Unicode"/>
          <w:color w:val="000000" w:themeColor="text1"/>
          <w:lang w:eastAsia="es-ES"/>
        </w:rPr>
        <w:t>Plazas de cualquier otra especie animal, incluso instalaciones mixtas de la misma o diferente especie, no especificadas en los anteriores epígrafes, a partir de 30 unidades ganaderas mayores (UGM)</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i/>
          <w:color w:val="000000" w:themeColor="text1"/>
          <w:lang w:eastAsia="es-ES"/>
        </w:rPr>
      </w:pPr>
      <w:r w:rsidRPr="000B1F2C">
        <w:rPr>
          <w:rFonts w:eastAsia="Times New Roman" w:cs="Lucida Sans Unicode"/>
          <w:i/>
          <w:color w:val="000000" w:themeColor="text1"/>
          <w:lang w:eastAsia="es-ES"/>
        </w:rPr>
        <w:t>(1 UGM = 1 plaza de vacuno de leche)</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7. </w:t>
      </w:r>
      <w:r w:rsidRPr="000B1F2C">
        <w:rPr>
          <w:rFonts w:eastAsia="Times New Roman" w:cs="Lucida Sans Unicode"/>
          <w:color w:val="000000" w:themeColor="text1"/>
          <w:u w:val="single"/>
          <w:lang w:eastAsia="es-ES"/>
        </w:rPr>
        <w:t>Instalaciones para la acuicultura intensiva</w:t>
      </w:r>
      <w:r w:rsidRPr="000B1F2C">
        <w:rPr>
          <w:rFonts w:eastAsia="Times New Roman" w:cs="Lucida Sans Unicode"/>
          <w:color w:val="000000" w:themeColor="text1"/>
          <w:lang w:eastAsia="es-ES"/>
        </w:rPr>
        <w:t xml:space="preserve"> (excluidas las instalaciones de mar abierto) que tenga una capacidad de producción superior a 25 toneladas año.</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lastRenderedPageBreak/>
        <w:t>8. </w:t>
      </w:r>
      <w:r w:rsidRPr="000B1F2C">
        <w:rPr>
          <w:rFonts w:eastAsia="Times New Roman" w:cs="Lucida Sans Unicode"/>
          <w:color w:val="000000" w:themeColor="text1"/>
          <w:u w:val="single"/>
          <w:lang w:eastAsia="es-ES"/>
        </w:rPr>
        <w:t>Instalaciones para el almacenamiento o acondicionamiento de materias fecales y otras enmiendas orgánicas</w:t>
      </w:r>
      <w:r w:rsidRPr="000B1F2C">
        <w:rPr>
          <w:rFonts w:eastAsia="Times New Roman" w:cs="Lucida Sans Unicode"/>
          <w:color w:val="000000" w:themeColor="text1"/>
          <w:lang w:eastAsia="es-ES"/>
        </w:rPr>
        <w:t xml:space="preserve"> independientes de la actividad principal, con superficie superior a 100 m</w:t>
      </w:r>
      <w:r w:rsidRPr="000B1F2C">
        <w:rPr>
          <w:rFonts w:eastAsia="Times New Roman" w:cs="Lucida Sans Unicode"/>
          <w:color w:val="000000" w:themeColor="text1"/>
          <w:vertAlign w:val="superscript"/>
          <w:lang w:eastAsia="es-ES"/>
        </w:rPr>
        <w:t>2</w:t>
      </w:r>
      <w:r w:rsidRPr="000B1F2C">
        <w:rPr>
          <w:rFonts w:eastAsia="Times New Roman" w:cs="Lucida Sans Unicode"/>
          <w:color w:val="000000" w:themeColor="text1"/>
          <w:lang w:eastAsia="es-ES"/>
        </w:rPr>
        <w:t>.</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9. </w:t>
      </w:r>
      <w:r w:rsidRPr="000B1F2C">
        <w:rPr>
          <w:rFonts w:eastAsia="Times New Roman" w:cs="Lucida Sans Unicode"/>
          <w:color w:val="000000" w:themeColor="text1"/>
          <w:u w:val="single"/>
          <w:lang w:eastAsia="es-ES"/>
        </w:rPr>
        <w:t>Tratamiento, manipulación y procesado de productos del tabaco</w:t>
      </w:r>
      <w:r w:rsidRPr="000B1F2C">
        <w:rPr>
          <w:rFonts w:eastAsia="Times New Roman" w:cs="Lucida Sans Unicode"/>
          <w:color w:val="000000" w:themeColor="text1"/>
          <w:lang w:eastAsia="es-ES"/>
        </w:rPr>
        <w:t>, con una capacidad de producción superior a 1 tonelada por día.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10. </w:t>
      </w:r>
      <w:r w:rsidRPr="000B1F2C">
        <w:rPr>
          <w:rFonts w:eastAsia="Times New Roman" w:cs="Lucida Sans Unicode"/>
          <w:color w:val="000000" w:themeColor="text1"/>
          <w:u w:val="single"/>
          <w:lang w:eastAsia="es-ES"/>
        </w:rPr>
        <w:t>Desmontaje de algodón a escala industrial</w:t>
      </w:r>
      <w:r w:rsidRPr="000B1F2C">
        <w:rPr>
          <w:rFonts w:eastAsia="Times New Roman" w:cs="Lucida Sans Unicode"/>
          <w:color w:val="000000" w:themeColor="text1"/>
          <w:lang w:eastAsia="es-ES"/>
        </w:rPr>
        <w:t>.</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11. </w:t>
      </w:r>
      <w:r w:rsidRPr="000B1F2C">
        <w:rPr>
          <w:rFonts w:eastAsia="Times New Roman" w:cs="Lucida Sans Unicode"/>
          <w:color w:val="000000" w:themeColor="text1"/>
          <w:u w:val="single"/>
          <w:lang w:eastAsia="es-ES"/>
        </w:rPr>
        <w:t>Tratamiento y transformación de materia prima animal y/o vegetal</w:t>
      </w:r>
      <w:r w:rsidRPr="000B1F2C">
        <w:rPr>
          <w:rFonts w:eastAsia="Times New Roman" w:cs="Lucida Sans Unicode"/>
          <w:color w:val="000000" w:themeColor="text1"/>
          <w:lang w:eastAsia="es-ES"/>
        </w:rPr>
        <w:t xml:space="preserve"> no incluidos en otros epígrafes con una capacidad de producción superior a 10 toneladas por día.</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12. </w:t>
      </w:r>
      <w:r w:rsidRPr="000B1F2C">
        <w:rPr>
          <w:rFonts w:eastAsia="Times New Roman" w:cs="Lucida Sans Unicode"/>
          <w:color w:val="000000" w:themeColor="text1"/>
          <w:u w:val="single"/>
          <w:lang w:eastAsia="es-ES"/>
        </w:rPr>
        <w:t>Almazaras e instalaciones para elaborar grasas y aceites vegetales y/o animales</w:t>
      </w:r>
      <w:r w:rsidRPr="000B1F2C">
        <w:rPr>
          <w:rFonts w:eastAsia="Times New Roman" w:cs="Lucida Sans Unicode"/>
          <w:color w:val="000000" w:themeColor="text1"/>
          <w:lang w:eastAsia="es-ES"/>
        </w:rPr>
        <w:t xml:space="preserve"> a escala industrial.</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13. </w:t>
      </w:r>
      <w:r w:rsidRPr="000B1F2C">
        <w:rPr>
          <w:rFonts w:eastAsia="Times New Roman" w:cs="Lucida Sans Unicode"/>
          <w:color w:val="000000" w:themeColor="text1"/>
          <w:u w:val="single"/>
          <w:lang w:eastAsia="es-ES"/>
        </w:rPr>
        <w:t>Instalaciones para la elaboración de vino</w:t>
      </w:r>
      <w:r w:rsidRPr="000B1F2C">
        <w:rPr>
          <w:rFonts w:eastAsia="Times New Roman" w:cs="Lucida Sans Unicode"/>
          <w:color w:val="000000" w:themeColor="text1"/>
          <w:lang w:eastAsia="es-ES"/>
        </w:rPr>
        <w:t xml:space="preserve"> a escala industrial.</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14. </w:t>
      </w:r>
      <w:r w:rsidRPr="000B1F2C">
        <w:rPr>
          <w:rFonts w:eastAsia="Times New Roman" w:cs="Lucida Sans Unicode"/>
          <w:color w:val="000000" w:themeColor="text1"/>
          <w:u w:val="single"/>
          <w:lang w:eastAsia="es-ES"/>
        </w:rPr>
        <w:t>Instalaciones para la elaboración de cerveza y/o malta cervecera</w:t>
      </w:r>
      <w:r w:rsidRPr="000B1F2C">
        <w:rPr>
          <w:rFonts w:eastAsia="Times New Roman" w:cs="Lucida Sans Unicode"/>
          <w:color w:val="000000" w:themeColor="text1"/>
          <w:lang w:eastAsia="es-ES"/>
        </w:rPr>
        <w:t xml:space="preserve"> a escala industrial.</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15. </w:t>
      </w:r>
      <w:r w:rsidRPr="000B1F2C">
        <w:rPr>
          <w:rFonts w:eastAsia="Times New Roman" w:cs="Lucida Sans Unicode"/>
          <w:color w:val="000000" w:themeColor="text1"/>
          <w:u w:val="single"/>
          <w:lang w:eastAsia="es-ES"/>
        </w:rPr>
        <w:t>Instalaciones para la obtención de féculas, harina o aceite de pescado</w:t>
      </w:r>
      <w:r w:rsidRPr="000B1F2C">
        <w:rPr>
          <w:rFonts w:eastAsia="Times New Roman" w:cs="Lucida Sans Unicode"/>
          <w:color w:val="000000" w:themeColor="text1"/>
          <w:lang w:eastAsia="es-ES"/>
        </w:rPr>
        <w:t>, a escala industrial.</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16. </w:t>
      </w:r>
      <w:r w:rsidRPr="000B1F2C">
        <w:rPr>
          <w:rFonts w:eastAsia="Times New Roman" w:cs="Lucida Sans Unicode"/>
          <w:color w:val="000000" w:themeColor="text1"/>
          <w:u w:val="single"/>
          <w:lang w:eastAsia="es-ES"/>
        </w:rPr>
        <w:t>Instalaciones para elaborar confituras y almíbares</w:t>
      </w:r>
      <w:r w:rsidRPr="000B1F2C">
        <w:rPr>
          <w:rFonts w:eastAsia="Times New Roman" w:cs="Lucida Sans Unicode"/>
          <w:color w:val="000000" w:themeColor="text1"/>
          <w:lang w:eastAsia="es-ES"/>
        </w:rPr>
        <w:t xml:space="preserve"> a escala industrial.</w:t>
      </w:r>
    </w:p>
    <w:p w:rsidR="009D015F" w:rsidRPr="000B1F2C" w:rsidRDefault="009D015F" w:rsidP="009D015F">
      <w:pPr>
        <w:shd w:val="clear" w:color="auto" w:fill="FFFFFF"/>
        <w:spacing w:before="100" w:beforeAutospacing="1" w:after="100" w:afterAutospacing="1" w:line="300" w:lineRule="atLeast"/>
        <w:jc w:val="both"/>
        <w:rPr>
          <w:rFonts w:eastAsia="Times New Roman" w:cs="Lucida Sans Unicode"/>
          <w:color w:val="000000" w:themeColor="text1"/>
          <w:lang w:eastAsia="es-ES"/>
        </w:rPr>
      </w:pPr>
      <w:r w:rsidRPr="000B1F2C">
        <w:rPr>
          <w:rFonts w:eastAsia="Times New Roman" w:cs="Lucida Sans Unicode"/>
          <w:b/>
          <w:bCs/>
          <w:color w:val="000000" w:themeColor="text1"/>
          <w:lang w:eastAsia="es-ES"/>
        </w:rPr>
        <w:t>17. </w:t>
      </w:r>
      <w:r w:rsidRPr="000B1F2C">
        <w:rPr>
          <w:rFonts w:eastAsia="Times New Roman" w:cs="Lucida Sans Unicode"/>
          <w:color w:val="000000" w:themeColor="text1"/>
          <w:u w:val="single"/>
          <w:lang w:eastAsia="es-ES"/>
        </w:rPr>
        <w:t>Instalaciones a escala industrial para el secado de grano y otras materias vegetales</w:t>
      </w:r>
      <w:r w:rsidRPr="000B1F2C">
        <w:rPr>
          <w:rFonts w:eastAsia="Times New Roman" w:cs="Lucida Sans Unicode"/>
          <w:color w:val="000000" w:themeColor="text1"/>
          <w:lang w:eastAsia="es-ES"/>
        </w:rPr>
        <w:t xml:space="preserve"> por medio de procedimientos artificiales.</w:t>
      </w:r>
    </w:p>
    <w:p w:rsidR="009D015F" w:rsidRDefault="009D015F" w:rsidP="009D015F"/>
    <w:p w:rsidR="00EA17B6" w:rsidRDefault="00EA17B6"/>
    <w:sectPr w:rsidR="00EA17B6" w:rsidSect="009F10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0B6"/>
    <w:multiLevelType w:val="hybridMultilevel"/>
    <w:tmpl w:val="2BD4EFB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4EB2562"/>
    <w:multiLevelType w:val="hybridMultilevel"/>
    <w:tmpl w:val="9E56B4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15F"/>
    <w:rsid w:val="00646BBD"/>
    <w:rsid w:val="009D015F"/>
    <w:rsid w:val="00EA17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15F"/>
    <w:pPr>
      <w:ind w:left="720"/>
      <w:contextualSpacing/>
    </w:pPr>
  </w:style>
  <w:style w:type="paragraph" w:styleId="Textodeglobo">
    <w:name w:val="Balloon Text"/>
    <w:basedOn w:val="Normal"/>
    <w:link w:val="TextodegloboCar"/>
    <w:uiPriority w:val="99"/>
    <w:semiHidden/>
    <w:unhideWhenUsed/>
    <w:rsid w:val="009D0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Admin/rd324-200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1</cp:revision>
  <dcterms:created xsi:type="dcterms:W3CDTF">2014-08-29T13:35:00Z</dcterms:created>
  <dcterms:modified xsi:type="dcterms:W3CDTF">2014-08-29T13:46:00Z</dcterms:modified>
</cp:coreProperties>
</file>